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2F" w:rsidRPr="00CB31B0" w:rsidRDefault="00DE4A59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CB31B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433A64" w:rsidRPr="00CB31B0" w:rsidRDefault="00433A64" w:rsidP="00433A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433A64" w:rsidRPr="00CB31B0" w:rsidRDefault="00433A64" w:rsidP="00433A6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CB31B0">
        <w:rPr>
          <w:rFonts w:ascii="IRBadr" w:hAnsi="IRBadr" w:cs="IRBadr"/>
          <w:sz w:val="28"/>
          <w:rtl/>
        </w:rPr>
        <w:fldChar w:fldCharType="begin"/>
      </w:r>
      <w:r w:rsidRPr="00CB31B0">
        <w:rPr>
          <w:rFonts w:ascii="IRBadr" w:hAnsi="IRBadr" w:cs="IRBadr"/>
          <w:sz w:val="28"/>
          <w:rtl/>
        </w:rPr>
        <w:instrText xml:space="preserve"> </w:instrText>
      </w:r>
      <w:r w:rsidRPr="00CB31B0">
        <w:rPr>
          <w:rFonts w:ascii="IRBadr" w:hAnsi="IRBadr" w:cs="IRBadr"/>
          <w:sz w:val="28"/>
        </w:rPr>
        <w:instrText>TOC</w:instrText>
      </w:r>
      <w:r w:rsidRPr="00CB31B0">
        <w:rPr>
          <w:rFonts w:ascii="IRBadr" w:hAnsi="IRBadr" w:cs="IRBadr"/>
          <w:sz w:val="28"/>
          <w:rtl/>
        </w:rPr>
        <w:instrText xml:space="preserve"> \</w:instrText>
      </w:r>
      <w:r w:rsidRPr="00CB31B0">
        <w:rPr>
          <w:rFonts w:ascii="IRBadr" w:hAnsi="IRBadr" w:cs="IRBadr"/>
          <w:sz w:val="28"/>
        </w:rPr>
        <w:instrText>o "</w:instrText>
      </w:r>
      <w:r w:rsidRPr="00CB31B0">
        <w:rPr>
          <w:rFonts w:ascii="IRBadr" w:hAnsi="IRBadr" w:cs="IRBadr"/>
          <w:sz w:val="28"/>
          <w:rtl/>
        </w:rPr>
        <w:instrText>1-4</w:instrText>
      </w:r>
      <w:r w:rsidRPr="00CB31B0">
        <w:rPr>
          <w:rFonts w:ascii="IRBadr" w:hAnsi="IRBadr" w:cs="IRBadr"/>
          <w:sz w:val="28"/>
        </w:rPr>
        <w:instrText>" \h \z \u</w:instrText>
      </w:r>
      <w:r w:rsidRPr="00CB31B0">
        <w:rPr>
          <w:rFonts w:ascii="IRBadr" w:hAnsi="IRBadr" w:cs="IRBadr"/>
          <w:sz w:val="28"/>
          <w:rtl/>
        </w:rPr>
        <w:instrText xml:space="preserve"> </w:instrText>
      </w:r>
      <w:r w:rsidRPr="00CB31B0">
        <w:rPr>
          <w:rFonts w:ascii="IRBadr" w:hAnsi="IRBadr" w:cs="IRBadr"/>
          <w:sz w:val="28"/>
          <w:rtl/>
        </w:rPr>
        <w:fldChar w:fldCharType="separate"/>
      </w:r>
      <w:hyperlink w:anchor="_Toc427655089" w:history="1">
        <w:r w:rsidRPr="00CB31B0">
          <w:rPr>
            <w:rStyle w:val="Hyperlink"/>
            <w:rFonts w:ascii="IRBadr" w:hAnsi="IRBadr" w:cs="IRBadr"/>
            <w:noProof/>
            <w:rtl/>
          </w:rPr>
          <w:t>حد محارب</w:t>
        </w:r>
        <w:r w:rsidRPr="00CB31B0">
          <w:rPr>
            <w:rFonts w:ascii="IRBadr" w:hAnsi="IRBadr" w:cs="IRBadr"/>
            <w:noProof/>
            <w:webHidden/>
          </w:rPr>
          <w:tab/>
        </w:r>
        <w:r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CB31B0">
          <w:rPr>
            <w:rFonts w:ascii="IRBadr" w:hAnsi="IRBadr" w:cs="IRBadr"/>
            <w:noProof/>
            <w:webHidden/>
          </w:rPr>
          <w:instrText xml:space="preserve"> PAGEREF _Toc427655089 \h </w:instrText>
        </w:r>
        <w:r w:rsidRPr="00CB31B0">
          <w:rPr>
            <w:rStyle w:val="Hyperlink"/>
            <w:rFonts w:ascii="IRBadr" w:hAnsi="IRBadr" w:cs="IRBadr"/>
            <w:noProof/>
            <w:rtl/>
          </w:rPr>
        </w:r>
        <w:r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CB31B0">
          <w:rPr>
            <w:rFonts w:ascii="IRBadr" w:hAnsi="IRBadr" w:cs="IRBadr"/>
            <w:noProof/>
            <w:webHidden/>
          </w:rPr>
          <w:t>1</w:t>
        </w:r>
        <w:r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090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تعریف محارب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_Toc427655090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1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091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کفایت دو قید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_Toc427655091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2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092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استقلال عنوانی محاربیت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_Toc427655092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2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093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آیه افساد فی‌الارض نزد عامه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_Toc427655093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3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094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تفاوت قول عامه و خاصه در این فرض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_Toc427655094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3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095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عنوان مفسد و محارب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_Toc427655095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3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096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مستندات محارب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_Toc427655096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4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097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روایت اول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_Toc427655097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4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098" w:history="1">
        <w:r w:rsidR="00CB31B0">
          <w:rPr>
            <w:rStyle w:val="Hyperlink"/>
            <w:rFonts w:ascii="IRBadr" w:hAnsi="IRBadr" w:cs="IRBadr"/>
            <w:noProof/>
            <w:rtl/>
          </w:rPr>
          <w:t>شأن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t xml:space="preserve"> نزول آیه محارب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_Toc427655098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5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C6040B" w:rsidP="00433A6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099" w:history="1">
        <w:r w:rsidR="00433A64" w:rsidRPr="00CB31B0">
          <w:rPr>
            <w:rStyle w:val="Hyperlink"/>
            <w:rFonts w:ascii="IRBadr" w:hAnsi="IRBadr" w:cs="IRBadr"/>
            <w:noProof/>
            <w:rtl/>
          </w:rPr>
          <w:t>احتمالات در آیه محارب</w:t>
        </w:r>
        <w:r w:rsidR="00433A64" w:rsidRPr="00CB31B0">
          <w:rPr>
            <w:rFonts w:ascii="IRBadr" w:hAnsi="IRBadr" w:cs="IRBadr"/>
            <w:noProof/>
            <w:webHidden/>
          </w:rPr>
          <w:tab/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433A64" w:rsidRPr="00CB31B0">
          <w:rPr>
            <w:rFonts w:ascii="IRBadr" w:hAnsi="IRBadr" w:cs="IRBadr"/>
            <w:noProof/>
            <w:webHidden/>
          </w:rPr>
          <w:instrText xml:space="preserve"> PAGEREF _Toc427655099 \h </w:instrText>
        </w:r>
        <w:r w:rsidR="00433A64" w:rsidRPr="00CB31B0">
          <w:rPr>
            <w:rStyle w:val="Hyperlink"/>
            <w:rFonts w:ascii="IRBadr" w:hAnsi="IRBadr" w:cs="IRBadr"/>
            <w:noProof/>
            <w:rtl/>
          </w:rPr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433A64" w:rsidRPr="00CB31B0">
          <w:rPr>
            <w:rFonts w:ascii="IRBadr" w:hAnsi="IRBadr" w:cs="IRBadr"/>
            <w:noProof/>
            <w:webHidden/>
          </w:rPr>
          <w:t>5</w:t>
        </w:r>
        <w:r w:rsidR="00433A64" w:rsidRPr="00CB31B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433A64" w:rsidRPr="00CB31B0" w:rsidRDefault="00433A64" w:rsidP="00433A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B31B0" w:rsidRDefault="00CB31B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55089"/>
      <w:r>
        <w:rPr>
          <w:rFonts w:ascii="IRBadr" w:hAnsi="IRBadr" w:cs="IRBadr"/>
          <w:rtl/>
        </w:rPr>
        <w:br w:type="page"/>
      </w:r>
    </w:p>
    <w:p w:rsidR="0042482F" w:rsidRPr="00CB31B0" w:rsidRDefault="0042482F" w:rsidP="0042482F">
      <w:pPr>
        <w:pStyle w:val="Heading1"/>
        <w:rPr>
          <w:rFonts w:ascii="IRBadr" w:hAnsi="IRBadr" w:cs="IRBadr"/>
          <w:rtl/>
        </w:rPr>
      </w:pPr>
      <w:r w:rsidRPr="00CB31B0">
        <w:rPr>
          <w:rFonts w:ascii="IRBadr" w:hAnsi="IRBadr" w:cs="IRBadr"/>
          <w:rtl/>
        </w:rPr>
        <w:lastRenderedPageBreak/>
        <w:t>حد محارب</w:t>
      </w:r>
      <w:bookmarkEnd w:id="1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فصل ششم در قبال محارب است.</w:t>
      </w:r>
    </w:p>
    <w:p w:rsidR="0042482F" w:rsidRPr="00CB31B0" w:rsidRDefault="0042482F" w:rsidP="0042482F">
      <w:pPr>
        <w:pStyle w:val="Heading1"/>
        <w:rPr>
          <w:rFonts w:ascii="IRBadr" w:hAnsi="IRBadr" w:cs="IRBadr"/>
          <w:rtl/>
        </w:rPr>
      </w:pPr>
      <w:bookmarkStart w:id="2" w:name="_Toc427655090"/>
      <w:r w:rsidRPr="00CB31B0">
        <w:rPr>
          <w:rFonts w:ascii="IRBadr" w:hAnsi="IRBadr" w:cs="IRBadr"/>
          <w:rtl/>
        </w:rPr>
        <w:t>تعریف محارب</w:t>
      </w:r>
      <w:bookmarkEnd w:id="2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تعریفی که از محارب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در متن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42482F" w:rsidRPr="00CB31B0" w:rsidRDefault="0042482F" w:rsidP="0042482F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«المحارب هو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 من جرّد سلاحه أو جهّزه لإخافة الناس و إرادة الإفساد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الأرض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برٍّ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 أو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بحر،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مصر أو غ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ره، ل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لًا أو نهاراً، و لا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شترط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ونه من أهل الر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بة مع تحقّق ما ذ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ر، و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ستو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الذ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و الأنث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ثبوته للمجرّد سلاحه بالقصد المزبور مع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ونه ضع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فاً لا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تحقّق من إخافته خوف لأحد إش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ال، بل منع. نعم، لو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 ضع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فاً ل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 لا بحدّ لا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تحقّق الخوف من إخافته، بل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تحقّق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بعض الأح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 و الأشخاص، فالظاهر 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ونه داخلًا ف</w:t>
      </w:r>
      <w:r w:rsidR="007977D2"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ه» </w:t>
      </w:r>
      <w:r w:rsidRPr="00CB31B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محارب کسی است که دست به سلاح ببرد و مردم را بترساند.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اینکه قصد دفاع از خود را داشته باشد،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فسادی در زمین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 قصدی در قبال ترساندن مردم و بر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هم زدن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نظم جامعه دارد.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 حکم مذکر و مؤنث برابر هستند و مکان آن نیز فرقی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که در دریا یا خشکی یا مکان دیگری باشد.</w:t>
      </w:r>
    </w:p>
    <w:p w:rsidR="0042482F" w:rsidRPr="00CB31B0" w:rsidRDefault="0042482F" w:rsidP="0042482F">
      <w:pPr>
        <w:pStyle w:val="Heading1"/>
        <w:rPr>
          <w:rFonts w:ascii="IRBadr" w:hAnsi="IRBadr" w:cs="IRBadr"/>
          <w:rtl/>
        </w:rPr>
      </w:pPr>
      <w:bookmarkStart w:id="3" w:name="_Toc427655091"/>
      <w:r w:rsidRPr="00CB31B0">
        <w:rPr>
          <w:rFonts w:ascii="IRBadr" w:hAnsi="IRBadr" w:cs="IRBadr"/>
          <w:rtl/>
        </w:rPr>
        <w:t>کفایت دو قید</w:t>
      </w:r>
      <w:bookmarkEnd w:id="3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سؤالی که در اینجا وجود 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 آیا دو قید بیرون آوردن اسلحه و قصد اخافه مردم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در تحقق این عنوان کفایت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بین قصد اخافه و ترسیدن مردم عموم و خصوص من وجه وجود 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قصد اخافه شرط است،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 سؤال وجود دارد که علاوه بر این قصد،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تحقق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آن از ناحیه مردم نیز شرط است؟ اگر این امر شرط شود،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آن زمان برخی از افراد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ضعیف‌النفس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در جامعه هستند که با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کوچک‌ترین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امری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می‌ترسند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بااین‌وجود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یا آنکه منظور تحقق خوف عموم و معمول افراد است؟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lastRenderedPageBreak/>
        <w:t>ظاهر امر این است که این عنوان داخل در مفهوم است.</w:t>
      </w:r>
    </w:p>
    <w:p w:rsidR="0042482F" w:rsidRPr="00CB31B0" w:rsidRDefault="0042482F" w:rsidP="0042482F">
      <w:pPr>
        <w:pStyle w:val="Heading1"/>
        <w:rPr>
          <w:rFonts w:ascii="IRBadr" w:hAnsi="IRBadr" w:cs="IRBadr"/>
          <w:rtl/>
        </w:rPr>
      </w:pPr>
      <w:bookmarkStart w:id="4" w:name="_Toc427655092"/>
      <w:r w:rsidRPr="00CB31B0">
        <w:rPr>
          <w:rFonts w:ascii="IRBadr" w:hAnsi="IRBadr" w:cs="IRBadr"/>
          <w:rtl/>
        </w:rPr>
        <w:t>استقلال عنوانی محاربیت</w:t>
      </w:r>
      <w:bookmarkEnd w:id="4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محارب بودن عنوانی مستقل است و ارتباطی به سارق بودن ندارد،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ممکن است کسی تاکنون سرقتی نکرده باشد و خلافی نیز از او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سر نزده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دست به تجرید سلاح و محارب بودن زده است.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 عنوان مستقلی است که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علماء خاصه بوده و در فقه عامه ذیل عنوان قطاع الطریق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اصل این حکم در سوره مائده در آیات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سی‌وسه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سی‌وچهار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«إِنَّما جَزاءُ الَّذِ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حارِبُونَ اللَّهَ وَ رَسُولَهُ وَ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سْعَوْنَ فِ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فَساداً أَنْ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قَتَّلُوا أَوْ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صَلَّبُوا أَوْ تُقَطَّعَ أَ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دِ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وَ أَرْجُلُهُمْ مِنْ خِلافٍ أَوْ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نْفَوْا مِنَ الْأَرْضِ ذلِ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لَهُمْ خِزْ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الدُّنْ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ا وَ لَهُمْ فِ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الْآخِرَةِ عَذابٌ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عَظِیمٌ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CB31B0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2"/>
      </w:r>
    </w:p>
    <w:p w:rsidR="0042482F" w:rsidRPr="00CB31B0" w:rsidRDefault="0042482F" w:rsidP="0042482F">
      <w:pPr>
        <w:pStyle w:val="Heading2"/>
        <w:rPr>
          <w:rFonts w:ascii="IRBadr" w:hAnsi="IRBadr" w:cs="IRBadr"/>
          <w:rtl/>
        </w:rPr>
      </w:pPr>
      <w:bookmarkStart w:id="5" w:name="_Toc427655093"/>
      <w:r w:rsidRPr="00CB31B0">
        <w:rPr>
          <w:rFonts w:ascii="IRBadr" w:hAnsi="IRBadr" w:cs="IRBadr"/>
          <w:rtl/>
        </w:rPr>
        <w:t xml:space="preserve">آیه افساد </w:t>
      </w:r>
      <w:r w:rsidR="00DE4A59" w:rsidRPr="00CB31B0">
        <w:rPr>
          <w:rFonts w:ascii="IRBadr" w:hAnsi="IRBadr" w:cs="IRBadr"/>
          <w:rtl/>
        </w:rPr>
        <w:t>فی‌الارض</w:t>
      </w:r>
      <w:r w:rsidRPr="00CB31B0">
        <w:rPr>
          <w:rFonts w:ascii="IRBadr" w:hAnsi="IRBadr" w:cs="IRBadr"/>
          <w:rtl/>
        </w:rPr>
        <w:t xml:space="preserve"> نزد عامه</w:t>
      </w:r>
      <w:bookmarkEnd w:id="5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عامه در ذیل این آیه از ابن عباس نقل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که این آیه در قبال قطاع الطریق و مسلمانانی که راهزنی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مالکی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 شافعی و عده دیگری نیز همین کلام را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نظر دومی که در میان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 آیه در قبال مرتدین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نازل‌شده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31B0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نظر اول که غالب فقهای عامه بدان قائل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در حقیقت محارب کسی است که دست به سلاح بزند برای اینکه نوعی خاص از سرقت را انجام دهد.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عامه محارب را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معنی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تشهیر سلاح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علنی برای غصب مال که مربوط به قطاعین طریق در بیابان است،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گیرد،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آن صدق عنوان محارب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2482F" w:rsidRPr="00CB31B0" w:rsidRDefault="0042482F" w:rsidP="0042482F">
      <w:pPr>
        <w:pStyle w:val="Heading2"/>
        <w:rPr>
          <w:rFonts w:ascii="IRBadr" w:hAnsi="IRBadr" w:cs="IRBadr"/>
          <w:rtl/>
        </w:rPr>
      </w:pPr>
      <w:bookmarkStart w:id="6" w:name="_Toc427655094"/>
      <w:r w:rsidRPr="00CB31B0">
        <w:rPr>
          <w:rFonts w:ascii="IRBadr" w:hAnsi="IRBadr" w:cs="IRBadr"/>
          <w:rtl/>
        </w:rPr>
        <w:t>تفاوت قول عامه و خاصه در این فرض</w:t>
      </w:r>
      <w:bookmarkEnd w:id="6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در میان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برخی از صحرا فراتر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رفته‌اند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 شهر را نیز بدان ملحق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یک تفاوت اساسی در تعریف محارب در میان عامه و خاصه وجود دارد.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آن تفاوت اصلی در قید اخذ مال است که در میان خاصه این قید وجود ندارد.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سرش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نیز این است که 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عامه محارب را به قطاع الطریق معنا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مشترک در میان عامه و خاصه قید تشهیر سلاح است.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اینکه خوف مردم تحقق پیدا کند،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شرطیت این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42482F" w:rsidRPr="00CB31B0" w:rsidRDefault="0042482F" w:rsidP="0042482F">
      <w:pPr>
        <w:pStyle w:val="Heading3"/>
        <w:rPr>
          <w:rFonts w:ascii="IRBadr" w:hAnsi="IRBadr" w:cs="IRBadr"/>
          <w:rtl/>
        </w:rPr>
      </w:pPr>
      <w:bookmarkStart w:id="7" w:name="_Toc427655095"/>
      <w:r w:rsidRPr="00CB31B0">
        <w:rPr>
          <w:rFonts w:ascii="IRBadr" w:hAnsi="IRBadr" w:cs="IRBadr"/>
          <w:rtl/>
        </w:rPr>
        <w:t>عنوان مفسد و محارب</w:t>
      </w:r>
      <w:bookmarkEnd w:id="7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بین عنوان محارب و مفسد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چه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رابطه‌ای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این‌یکی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از مباحث مهم و اساسی است که باید بدان پرداخته شود؟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مفسد عنوانی مستقل از محارب است؟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عمده دلیلی که در اینجا وجود دارد همان آیه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از سوره بقره است، قبل از اینکه در قبال آیه محارب بحث شود، به آیه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از این سوره توجه شود که؛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«مِنْ أَجْلِ ذلِ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تَبْنا 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عَلی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بَنِ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إِسْرائِ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لَ أَنَّهُ مَنْ قَتَلَ نَفْساً بِغَ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رِ نَفْسٍ أَوْ فَسادٍ فِ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فَ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أَنَّما قَتَلَ النَّاسَ جَمِ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عاً وَ مَنْ أَحْ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اها فَ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أَنَّما أَحْ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ا النَّاسَ جَمِ</w:t>
      </w:r>
      <w:r w:rsidR="007977D2"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CB31B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عاً» </w:t>
      </w:r>
      <w:r w:rsidRPr="00CB31B0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42482F" w:rsidRPr="00CB31B0" w:rsidRDefault="00DE4A59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پس‌ازاین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آیه مربوط به محارب 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 در طی آن به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حکم‌های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چندگانه در قبال محارب 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2482F" w:rsidRPr="00CB31B0" w:rsidRDefault="0042482F" w:rsidP="0042482F">
      <w:pPr>
        <w:pStyle w:val="Heading3"/>
        <w:rPr>
          <w:rFonts w:ascii="IRBadr" w:hAnsi="IRBadr" w:cs="IRBadr"/>
          <w:rtl/>
        </w:rPr>
      </w:pPr>
      <w:bookmarkStart w:id="8" w:name="_Toc427655096"/>
      <w:r w:rsidRPr="00CB31B0">
        <w:rPr>
          <w:rFonts w:ascii="IRBadr" w:hAnsi="IRBadr" w:cs="IRBadr"/>
          <w:rtl/>
        </w:rPr>
        <w:t>مستندات محارب</w:t>
      </w:r>
      <w:bookmarkEnd w:id="8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روایاتی در این زمینه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که در وسایل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2482F" w:rsidRPr="00CB31B0" w:rsidRDefault="0042482F" w:rsidP="0042482F">
      <w:pPr>
        <w:pStyle w:val="Heading3"/>
        <w:rPr>
          <w:rFonts w:ascii="IRBadr" w:hAnsi="IRBadr" w:cs="IRBadr"/>
          <w:rtl/>
        </w:rPr>
      </w:pPr>
      <w:bookmarkStart w:id="9" w:name="_Toc427655097"/>
      <w:r w:rsidRPr="00CB31B0">
        <w:rPr>
          <w:rFonts w:ascii="IRBadr" w:hAnsi="IRBadr" w:cs="IRBadr"/>
          <w:rtl/>
        </w:rPr>
        <w:t>روایت اول</w:t>
      </w:r>
      <w:bookmarkEnd w:id="9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این روایت، روایتی معتبره است؛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مُحَمَّدُ بْنُ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مُحَمَّدٍ عَنِ ابْنِ مَحْبُوبٍ عَنْ أَبِ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وبَ عَنْ مُحَمَّدِ بْنِ مُسْلِمٍ عَنْ أَبِ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مَنْ شَهَرَ السِّلَاحَ فِ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مِصْرٍ مِنَ الْأَمْصَارِ فَعَقَرَ اقْتُصَّ مِنْهُ وَ نُفِ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تِلْ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الْبَلْدَةِ وَ مَنْ شَهَرَ السِّلَاحَ فِ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رِ الْأَمْصَارِ وَ ضَرَبَ وَ عَقَرَ وَ أَخَذَ الْمَالَ وَ لَمْ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قْتُلْ فَهُوَ مُحَارِبٌ فَجَزَاؤُهُ جَزَاءُ الْمُحَارِبِ وَ أَمْرُهُ إِلَ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إِنْ شَاءَ قَتَلَهُ وَ [إِنْ شَاءَ] صَلَبَهُ وَ إِنْ شَاءَ قَطَعَ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 وَ رِجْلَهُ قَالَ وَ إِنْ ضَرَبَ وَ قَتَلَ وَ أَخَذَ الْمَالَ فَعَلَ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أَنْ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قْطَعَ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 الْ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مْنَ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بِالسَّرِقَةِ ثُمَّ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دْفَعَهُ إِلَ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أَوْلِ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اءِ الْمَقْتُولِ فَ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تْبَعُونَهُ بِالْمَالِ ثُمَّ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قْتُلُونَهُ قَالَ فَقَالَ أَبُو عُبَ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دَةَ أَصْلَحَ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اللَّهُ أَ رَأَ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إِنْ عَفَا عَنْهُ أَوْلِ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اءُ الْمَقْتُولِ قَالَ فَقَالَ أَبُو جَعْفَرٍ ع إِنْ عَفَوْا عَنْهُ فَإِنَّ عَلَ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أَنْ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قْتُلَهُ لِأَنَّهُ قَدْ حَارَبَ وَ قَتَلَ وَ سَرَقَ قَالَ فَقَالَ أَبُو عُبَ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دَةَ أَ رَأَ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تَ إِنْ أَرَادَ أَوْلِ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اءُ الْمَقْتُولِ أَنْ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أْخُذُوا مِنْهُ الدِّ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ةَ وَ 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دَعُونَهُ أَ لَهُمْ ذَلِ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فَقَالَ لَا عَلَ</w:t>
      </w:r>
      <w:r w:rsidR="007977D2"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الْقَتْلُ.»</w:t>
      </w:r>
      <w:r w:rsidRPr="00CB31B0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4"/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در تعریف محارب در این آیه آنچه شرط دانسته شده است؛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تشهیر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سلاح برای اخافه مردم است،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اینکه اخذ مال نیز شرط باشد،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قبال آن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که با عنوان محارب گاهی اخذ مال نیز همراه است و گاهی همراه نیست.</w:t>
      </w:r>
    </w:p>
    <w:p w:rsidR="0042482F" w:rsidRPr="00CB31B0" w:rsidRDefault="00CB31B0" w:rsidP="0042482F">
      <w:pPr>
        <w:pStyle w:val="Heading3"/>
        <w:rPr>
          <w:rFonts w:ascii="IRBadr" w:hAnsi="IRBadr" w:cs="IRBadr"/>
          <w:rtl/>
        </w:rPr>
      </w:pPr>
      <w:bookmarkStart w:id="10" w:name="_Toc427655098"/>
      <w:r>
        <w:rPr>
          <w:rFonts w:ascii="IRBadr" w:hAnsi="IRBadr" w:cs="IRBadr"/>
          <w:rtl/>
        </w:rPr>
        <w:t>شأن</w:t>
      </w:r>
      <w:r w:rsidR="0042482F" w:rsidRPr="00CB31B0">
        <w:rPr>
          <w:rFonts w:ascii="IRBadr" w:hAnsi="IRBadr" w:cs="IRBadr"/>
          <w:rtl/>
        </w:rPr>
        <w:t xml:space="preserve"> نزول آیه محارب</w:t>
      </w:r>
      <w:bookmarkEnd w:id="10"/>
    </w:p>
    <w:p w:rsidR="0042482F" w:rsidRPr="00CB31B0" w:rsidRDefault="00DE4A59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که گذشت در </w:t>
      </w:r>
      <w:r w:rsidR="00CB31B0">
        <w:rPr>
          <w:rFonts w:ascii="IRBadr" w:hAnsi="IRBadr" w:cs="IRBadr"/>
          <w:sz w:val="28"/>
          <w:szCs w:val="28"/>
          <w:rtl/>
          <w:lang w:bidi="fa-IR"/>
        </w:rPr>
        <w:t>شأن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نزول این آیه نظریات مختلفی 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 چندان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تکیه نمود چراکه </w:t>
      </w:r>
      <w:r w:rsidR="00CB31B0">
        <w:rPr>
          <w:rFonts w:ascii="IRBadr" w:hAnsi="IRBadr" w:cs="IRBadr"/>
          <w:sz w:val="28"/>
          <w:szCs w:val="28"/>
          <w:rtl/>
          <w:lang w:bidi="fa-IR"/>
        </w:rPr>
        <w:t>شأن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نزول‌ها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معمولاً اعتباری ندارند.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31B0">
        <w:rPr>
          <w:rFonts w:ascii="IRBadr" w:hAnsi="IRBadr" w:cs="IRBadr"/>
          <w:sz w:val="28"/>
          <w:szCs w:val="28"/>
          <w:rtl/>
          <w:lang w:bidi="fa-IR"/>
        </w:rPr>
        <w:t>شأن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نزول نیز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42482F" w:rsidRPr="00CB31B0">
        <w:rPr>
          <w:rFonts w:ascii="IRBadr" w:hAnsi="IRBadr" w:cs="IRBadr"/>
          <w:sz w:val="28"/>
          <w:szCs w:val="28"/>
          <w:rtl/>
          <w:lang w:bidi="fa-IR"/>
        </w:rPr>
        <w:t xml:space="preserve"> مخصص باشد.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در این آیه شریفه چند جهت وجود دارد که لازم است با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از روایات بدان پرداخته شود؛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طبعاً بر اساس این قول که ظواهر آیات معتبر است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به آیه تمسک نمود.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آیه شریفه دو قید وجود دارد؛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سعی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بر فساد در زمین و محارب بودن.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تقریباً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گفت بین این دو عنوان،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عموم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و خصوص مطلق وجود دارد.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سؤالی که در اینجا وجود دارد،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 که آیا این دو عنوان مستقل هستند یا خیر؟</w:t>
      </w:r>
    </w:p>
    <w:p w:rsidR="0042482F" w:rsidRPr="00CB31B0" w:rsidRDefault="0042482F" w:rsidP="0042482F">
      <w:pPr>
        <w:pStyle w:val="Heading3"/>
        <w:rPr>
          <w:rFonts w:ascii="IRBadr" w:hAnsi="IRBadr" w:cs="IRBadr"/>
          <w:rtl/>
        </w:rPr>
      </w:pPr>
      <w:bookmarkStart w:id="11" w:name="_Toc427655099"/>
      <w:r w:rsidRPr="00CB31B0">
        <w:rPr>
          <w:rFonts w:ascii="IRBadr" w:hAnsi="IRBadr" w:cs="IRBadr"/>
          <w:rtl/>
        </w:rPr>
        <w:t>احتمالات در آیه محارب</w:t>
      </w:r>
      <w:bookmarkEnd w:id="11"/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B31B0">
        <w:rPr>
          <w:rFonts w:ascii="IRBadr" w:hAnsi="IRBadr" w:cs="IRBadr"/>
          <w:sz w:val="28"/>
          <w:szCs w:val="28"/>
          <w:rtl/>
          <w:lang w:bidi="fa-IR"/>
        </w:rPr>
        <w:t>در این آیه سه احتمال وجود دارد که؛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عنوان به نحو مستقل موضوع حکم باشند،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در حقیقت در اینجا دو حکم </w:t>
      </w:r>
      <w:r w:rsidR="00DE4A59" w:rsidRPr="00CB31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است، احتمال دوم این است که این دو عنوان حالت ترکیبی داشته باشد و واو برای جمع باشد؛ یعنی عنوان این حد، محاربی است که مفسد است.</w:t>
      </w:r>
      <w:r w:rsidR="007977D2" w:rsidRPr="00CB31B0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CB31B0">
        <w:rPr>
          <w:rFonts w:ascii="IRBadr" w:hAnsi="IRBadr" w:cs="IRBadr"/>
          <w:sz w:val="28"/>
          <w:szCs w:val="28"/>
          <w:rtl/>
          <w:lang w:bidi="fa-IR"/>
        </w:rPr>
        <w:t xml:space="preserve"> سوم این است که یکی از این دو اصل و دیگری فرع است که باز نیز در اینجا دو احتمال وجود دارد که کدام اصل و دیگری مصداق از آن و حکمت حکم باشد.</w:t>
      </w: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42482F" w:rsidRPr="00CB31B0" w:rsidRDefault="0042482F" w:rsidP="004248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CB31B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CB31B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0B" w:rsidRDefault="00C6040B" w:rsidP="000D5800">
      <w:pPr>
        <w:spacing w:after="0" w:line="240" w:lineRule="auto"/>
      </w:pPr>
      <w:r>
        <w:separator/>
      </w:r>
    </w:p>
  </w:endnote>
  <w:endnote w:type="continuationSeparator" w:id="0">
    <w:p w:rsidR="00C6040B" w:rsidRDefault="00C6040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0B" w:rsidRDefault="00C6040B" w:rsidP="00433A64">
      <w:pPr>
        <w:bidi/>
        <w:spacing w:after="0" w:line="240" w:lineRule="auto"/>
      </w:pPr>
      <w:r>
        <w:separator/>
      </w:r>
    </w:p>
  </w:footnote>
  <w:footnote w:type="continuationSeparator" w:id="0">
    <w:p w:rsidR="00C6040B" w:rsidRDefault="00C6040B" w:rsidP="000D5800">
      <w:pPr>
        <w:spacing w:after="0" w:line="240" w:lineRule="auto"/>
      </w:pPr>
      <w:r>
        <w:continuationSeparator/>
      </w:r>
    </w:p>
  </w:footnote>
  <w:footnote w:id="1">
    <w:p w:rsidR="0042482F" w:rsidRDefault="0042482F" w:rsidP="0042482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0772B">
        <w:rPr>
          <w:rFonts w:ascii="Noor_Titr" w:hAnsi="Noor_Titr" w:cs="B Badr" w:hint="cs"/>
          <w:color w:val="000000" w:themeColor="text1"/>
          <w:rtl/>
        </w:rPr>
        <w:t>تفص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>ل الشر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>عة ف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>ر الوس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>لة - الحدود؛ ص: 637</w:t>
      </w:r>
    </w:p>
  </w:footnote>
  <w:footnote w:id="2">
    <w:p w:rsidR="0042482F" w:rsidRDefault="0042482F" w:rsidP="0042482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0772B">
        <w:rPr>
          <w:rFonts w:cs="B Badr" w:hint="cs"/>
          <w:rtl/>
        </w:rPr>
        <w:t>33/مائده</w:t>
      </w:r>
    </w:p>
  </w:footnote>
  <w:footnote w:id="3">
    <w:p w:rsidR="0042482F" w:rsidRPr="0010772B" w:rsidRDefault="0042482F" w:rsidP="0042482F">
      <w:pPr>
        <w:pStyle w:val="FootnoteText"/>
        <w:rPr>
          <w:rFonts w:cs="B Badr"/>
          <w:rtl/>
        </w:rPr>
      </w:pPr>
      <w:r w:rsidRPr="0010772B">
        <w:rPr>
          <w:rStyle w:val="FootnoteReference"/>
          <w:rFonts w:cs="B Badr"/>
        </w:rPr>
        <w:footnoteRef/>
      </w:r>
      <w:r w:rsidRPr="0010772B">
        <w:rPr>
          <w:rFonts w:cs="B Badr"/>
        </w:rPr>
        <w:t xml:space="preserve"> </w:t>
      </w:r>
      <w:r w:rsidRPr="0010772B">
        <w:rPr>
          <w:rFonts w:cs="B Badr" w:hint="cs"/>
          <w:rtl/>
        </w:rPr>
        <w:t>32/مائده</w:t>
      </w:r>
    </w:p>
  </w:footnote>
  <w:footnote w:id="4">
    <w:p w:rsidR="0042482F" w:rsidRDefault="0042482F" w:rsidP="0042482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0772B">
        <w:rPr>
          <w:rFonts w:ascii="Noor_Titr" w:hAnsi="Noor_Titr" w:cs="B Badr" w:hint="cs"/>
          <w:color w:val="000000" w:themeColor="text1"/>
          <w:rtl/>
        </w:rPr>
        <w:t>ال</w:t>
      </w:r>
      <w:r w:rsidR="007977D2">
        <w:rPr>
          <w:rFonts w:ascii="Noor_Titr" w:hAnsi="Noor_Titr" w:cs="B Badr" w:hint="cs"/>
          <w:color w:val="000000" w:themeColor="text1"/>
          <w:rtl/>
        </w:rPr>
        <w:t>ک</w:t>
      </w:r>
      <w:r w:rsidRPr="0010772B">
        <w:rPr>
          <w:rFonts w:ascii="Noor_Titr" w:hAnsi="Noor_Titr" w:cs="B Badr" w:hint="cs"/>
          <w:color w:val="000000" w:themeColor="text1"/>
          <w:rtl/>
        </w:rPr>
        <w:t>اف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7977D2">
        <w:rPr>
          <w:rFonts w:ascii="Noor_Titr" w:hAnsi="Noor_Titr" w:cs="B Badr" w:hint="cs"/>
          <w:color w:val="000000" w:themeColor="text1"/>
          <w:rtl/>
        </w:rPr>
        <w:t>ی</w:t>
      </w:r>
      <w:r w:rsidRPr="0010772B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7977D2">
        <w:rPr>
          <w:rFonts w:ascii="Noor_Titr" w:hAnsi="Noor_Titr" w:cs="B Badr"/>
          <w:color w:val="000000" w:themeColor="text1"/>
          <w:rtl/>
        </w:rPr>
        <w:t>ج 7</w:t>
      </w:r>
      <w:r w:rsidRPr="0010772B">
        <w:rPr>
          <w:rFonts w:ascii="Noor_Titr" w:hAnsi="Noor_Titr" w:cs="B Badr" w:hint="cs"/>
          <w:color w:val="000000" w:themeColor="text1"/>
          <w:rtl/>
        </w:rPr>
        <w:t>، ص: 248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42482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FC890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42482F">
      <w:rPr>
        <w:rFonts w:ascii="IranNastaliq" w:hAnsi="IranNastaliq" w:cs="IranNastaliq" w:hint="cs"/>
        <w:sz w:val="40"/>
        <w:szCs w:val="40"/>
        <w:rtl/>
        <w:lang w:bidi="fa-IR"/>
      </w:rPr>
      <w:t>911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2482F"/>
    <w:rsid w:val="00433A64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203EF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977D2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40B"/>
    <w:rsid w:val="00C60D75"/>
    <w:rsid w:val="00C64CEA"/>
    <w:rsid w:val="00C73012"/>
    <w:rsid w:val="00C7382B"/>
    <w:rsid w:val="00C763DD"/>
    <w:rsid w:val="00C84FC0"/>
    <w:rsid w:val="00C9244A"/>
    <w:rsid w:val="00CB31B0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51BA7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E4A59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3A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3A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25B1-1F47-48DA-915F-CEBFCFDC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92</TotalTime>
  <Pages>6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49</cp:revision>
  <dcterms:created xsi:type="dcterms:W3CDTF">2014-12-20T10:23:00Z</dcterms:created>
  <dcterms:modified xsi:type="dcterms:W3CDTF">2015-08-18T08:03:00Z</dcterms:modified>
</cp:coreProperties>
</file>